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448961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第3章 物质在水溶液中的行为</w:t>
      </w:r>
    </w:p>
    <w:p w14:paraId="3D2B8F87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第2节 弱电解质的电离 盐类的水解</w:t>
      </w:r>
    </w:p>
    <w:p w14:paraId="622F2870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课时2</w:t>
      </w:r>
      <w:r>
        <w:rPr>
          <w:rFonts w:ascii="Times New Roman" w:hAnsi="Times New Roman" w:eastAsia="宋体" w:cs="Times New Roman"/>
          <w:b/>
          <w:bCs/>
          <w:sz w:val="22"/>
        </w:rPr>
        <w:t>盐类水解的</w:t>
      </w:r>
      <w:r>
        <w:rPr>
          <w:rFonts w:hint="eastAsia" w:ascii="Times New Roman" w:hAnsi="Times New Roman" w:eastAsia="宋体" w:cs="Times New Roman"/>
          <w:b/>
          <w:bCs/>
          <w:sz w:val="22"/>
        </w:rPr>
        <w:t>原理</w:t>
      </w:r>
    </w:p>
    <w:p w14:paraId="462F3132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1B7F2335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一、盐类的水解</w:t>
      </w:r>
    </w:p>
    <w:p w14:paraId="77766C23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1．盐类的水解</w:t>
      </w:r>
    </w:p>
    <w:p w14:paraId="151F6A49">
      <w:pPr>
        <w:tabs>
          <w:tab w:val="left" w:pos="3119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(1)有弱才水解——必须含有</w:t>
      </w:r>
      <w:r>
        <w:rPr>
          <w:rFonts w:ascii="Times New Roman" w:hAnsi="Times New Roman" w:eastAsia="宋体" w:cs="Times New Roman"/>
          <w:color w:val="91ABDF"/>
          <w:szCs w:val="21"/>
          <w:u w:val="thick"/>
        </w:rPr>
        <w:t>弱酸或弱碱</w:t>
      </w:r>
      <w:r>
        <w:rPr>
          <w:rFonts w:ascii="Times New Roman" w:hAnsi="Times New Roman" w:eastAsia="宋体" w:cs="Times New Roman"/>
          <w:szCs w:val="21"/>
        </w:rPr>
        <w:t>的离子才能发生水解。</w:t>
      </w:r>
    </w:p>
    <w:p w14:paraId="713D37D3">
      <w:pPr>
        <w:tabs>
          <w:tab w:val="left" w:pos="3119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(2)无弱不水解——强酸强碱盐不发生水解。常见不水解的离子：</w:t>
      </w:r>
      <w:r>
        <w:rPr>
          <w:rFonts w:ascii="Cambria Math" w:hAnsi="Cambria Math" w:eastAsia="宋体" w:cs="Cambria Math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强酸阴离子：Cl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、SO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、NO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、Br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、I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、ClO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；</w:t>
      </w:r>
      <w:r>
        <w:rPr>
          <w:rFonts w:ascii="Cambria Math" w:hAnsi="Cambria Math" w:eastAsia="宋体" w:cs="Cambria Math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强碱阳离子：K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、Na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、Ca</w:t>
      </w:r>
      <w:r>
        <w:rPr>
          <w:rFonts w:ascii="Times New Roman" w:hAnsi="Times New Roman" w:eastAsia="宋体" w:cs="Times New Roman"/>
          <w:szCs w:val="21"/>
          <w:vertAlign w:val="superscript"/>
        </w:rPr>
        <w:t>2＋</w:t>
      </w:r>
      <w:r>
        <w:rPr>
          <w:rFonts w:ascii="Times New Roman" w:hAnsi="Times New Roman" w:eastAsia="宋体" w:cs="Times New Roman"/>
          <w:szCs w:val="21"/>
        </w:rPr>
        <w:t>、Ba</w:t>
      </w:r>
      <w:r>
        <w:rPr>
          <w:rFonts w:ascii="Times New Roman" w:hAnsi="Times New Roman" w:eastAsia="宋体" w:cs="Times New Roman"/>
          <w:szCs w:val="21"/>
          <w:vertAlign w:val="superscript"/>
        </w:rPr>
        <w:t>2＋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54939A87">
      <w:pPr>
        <w:tabs>
          <w:tab w:val="left" w:pos="3119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(3)谁弱谁水解——发生水解的是</w:t>
      </w:r>
      <w:r>
        <w:rPr>
          <w:rFonts w:ascii="Times New Roman" w:hAnsi="Times New Roman" w:eastAsia="宋体" w:cs="Times New Roman"/>
          <w:color w:val="91ABDF"/>
          <w:szCs w:val="21"/>
          <w:u w:val="thick"/>
        </w:rPr>
        <w:t>弱碱阳离子或弱酸阴离子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3D9C1711">
      <w:pPr>
        <w:tabs>
          <w:tab w:val="left" w:pos="3119"/>
        </w:tabs>
        <w:snapToGrid w:val="0"/>
        <w:spacing w:line="360" w:lineRule="auto"/>
        <w:rPr>
          <w:rFonts w:ascii="Times New Roman" w:hAnsi="Times New Roman" w:eastAsia="宋体" w:cs="Times New Roman"/>
          <w:spacing w:val="2"/>
          <w:szCs w:val="21"/>
        </w:rPr>
      </w:pPr>
      <w:r>
        <w:rPr>
          <w:rFonts w:ascii="Times New Roman" w:hAnsi="Times New Roman" w:eastAsia="宋体" w:cs="Times New Roman"/>
          <w:spacing w:val="2"/>
          <w:szCs w:val="21"/>
        </w:rPr>
        <w:t>(4)谁强显谁性——组成盐的酸根离子(碱的阳离子)是强酸根离子(强碱的阳离子)，则显酸(碱)性。</w:t>
      </w:r>
    </w:p>
    <w:p w14:paraId="282DC1D7">
      <w:pPr>
        <w:tabs>
          <w:tab w:val="left" w:pos="3119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(5)都弱都水解——弱酸弱碱盐因阴、阳离子都能发生水解且两水解过程可相互</w:t>
      </w:r>
      <w:r>
        <w:rPr>
          <w:rFonts w:ascii="Times New Roman" w:hAnsi="Times New Roman" w:eastAsia="宋体" w:cs="Times New Roman"/>
          <w:color w:val="91ABDF"/>
          <w:szCs w:val="21"/>
          <w:u w:val="thick"/>
        </w:rPr>
        <w:t>促进</w:t>
      </w:r>
      <w:r>
        <w:rPr>
          <w:rFonts w:ascii="Times New Roman" w:hAnsi="Times New Roman" w:eastAsia="宋体" w:cs="Times New Roman"/>
          <w:szCs w:val="21"/>
        </w:rPr>
        <w:t>，所以水解程度较大，少数可以完全水解。</w:t>
      </w:r>
    </w:p>
    <w:p w14:paraId="7E7226B3">
      <w:pPr>
        <w:tabs>
          <w:tab w:val="left" w:pos="3119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(6)同强显中性——</w:t>
      </w:r>
      <w:r>
        <w:rPr>
          <w:rFonts w:ascii="Cambria Math" w:hAnsi="Cambria Math" w:eastAsia="宋体" w:cs="Cambria Math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强酸强碱盐溶液显</w:t>
      </w:r>
      <w:r>
        <w:rPr>
          <w:rFonts w:ascii="Times New Roman" w:hAnsi="Times New Roman" w:eastAsia="宋体" w:cs="Times New Roman"/>
          <w:color w:val="91ABDF"/>
          <w:szCs w:val="21"/>
          <w:u w:val="thick"/>
        </w:rPr>
        <w:t>中性</w:t>
      </w:r>
      <w:r>
        <w:rPr>
          <w:rFonts w:ascii="Times New Roman" w:hAnsi="Times New Roman" w:eastAsia="宋体" w:cs="Times New Roman"/>
          <w:szCs w:val="21"/>
        </w:rPr>
        <w:t>；</w:t>
      </w:r>
      <w:r>
        <w:rPr>
          <w:rFonts w:ascii="Cambria Math" w:hAnsi="Cambria Math" w:eastAsia="宋体" w:cs="Cambria Math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盐中的阳离子对应的碱的电离常数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b</w:t>
      </w:r>
      <w:r>
        <w:rPr>
          <w:rFonts w:ascii="Times New Roman" w:hAnsi="Times New Roman" w:eastAsia="宋体" w:cs="Times New Roman"/>
          <w:szCs w:val="21"/>
        </w:rPr>
        <w:t>与盐中的阴离子对应的酸的电离常数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a</w:t>
      </w:r>
      <w:r>
        <w:rPr>
          <w:rFonts w:ascii="Times New Roman" w:hAnsi="Times New Roman" w:eastAsia="宋体" w:cs="Times New Roman"/>
          <w:szCs w:val="21"/>
        </w:rPr>
        <w:t>相等时，盐溶液呈</w:t>
      </w:r>
      <w:r>
        <w:rPr>
          <w:rFonts w:ascii="Times New Roman" w:hAnsi="Times New Roman" w:eastAsia="宋体" w:cs="Times New Roman"/>
          <w:color w:val="91ABDF"/>
          <w:szCs w:val="21"/>
          <w:u w:val="thick"/>
        </w:rPr>
        <w:t>中性</w:t>
      </w:r>
      <w:r>
        <w:rPr>
          <w:rFonts w:ascii="Times New Roman" w:hAnsi="Times New Roman" w:eastAsia="宋体" w:cs="Times New Roman"/>
          <w:szCs w:val="21"/>
        </w:rPr>
        <w:t>，如CH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COONH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溶液呈中性。</w:t>
      </w:r>
    </w:p>
    <w:p w14:paraId="7C4399CF">
      <w:pPr>
        <w:tabs>
          <w:tab w:val="left" w:pos="3119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(7)越弱越水解——组成盐的酸根离子对应的酸(即水解生成的酸)酸性越弱(或阳离子对应的碱的碱性越弱)，水解程度就越大，此即“越弱越水解”规律。</w:t>
      </w:r>
    </w:p>
    <w:p w14:paraId="487092E9">
      <w:pPr>
        <w:tabs>
          <w:tab w:val="left" w:pos="3119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电离程度：CH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COOH＞H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＞HCN＞HCO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，水解程度：CH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＜HCO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＜CN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＜CO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。</w:t>
      </w:r>
    </w:p>
    <w:p w14:paraId="21C0C019">
      <w:pPr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二</w:t>
      </w:r>
      <w:r>
        <w:rPr>
          <w:rFonts w:ascii="Times New Roman" w:hAnsi="Times New Roman" w:eastAsia="宋体" w:cs="Times New Roman"/>
          <w:b/>
          <w:bCs/>
          <w:sz w:val="22"/>
        </w:rPr>
        <w:t>、盐类水解的影响因素</w:t>
      </w:r>
    </w:p>
    <w:p w14:paraId="7A96558C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1.内因：形成盐的酸或碱越弱,其盐就越易</w:t>
      </w:r>
      <w:r>
        <w:rPr>
          <w:rFonts w:ascii="Times New Roman" w:hAnsi="Times New Roman" w:eastAsia="宋体" w:cs="Times New Roman"/>
          <w:color w:val="91ABDF"/>
          <w:szCs w:val="21"/>
          <w:u w:val="thick"/>
        </w:rPr>
        <w:t>水解</w:t>
      </w:r>
      <w:r>
        <w:rPr>
          <w:rFonts w:ascii="Times New Roman" w:hAnsi="Times New Roman" w:eastAsia="宋体" w:cs="Times New Roman"/>
          <w:szCs w:val="21"/>
        </w:rPr>
        <w:t>。如水解程度:Na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color w:val="91ABDF"/>
          <w:szCs w:val="21"/>
          <w:u w:val="thick"/>
        </w:rPr>
        <w:t>&gt;</w:t>
      </w:r>
      <w:r>
        <w:rPr>
          <w:rFonts w:ascii="Times New Roman" w:hAnsi="Times New Roman" w:eastAsia="宋体" w:cs="Times New Roman"/>
          <w:szCs w:val="21"/>
        </w:rPr>
        <w:t>Na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,Na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color w:val="91ABDF"/>
          <w:szCs w:val="21"/>
          <w:u w:val="thick"/>
        </w:rPr>
        <w:t>&gt;</w:t>
      </w:r>
      <w:r>
        <w:rPr>
          <w:rFonts w:ascii="Times New Roman" w:hAnsi="Times New Roman" w:eastAsia="宋体" w:cs="Times New Roman"/>
          <w:szCs w:val="21"/>
        </w:rPr>
        <w:t>NaHCO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745CCD39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2.外因</w:t>
      </w:r>
    </w:p>
    <w:tbl>
      <w:tblPr>
        <w:tblStyle w:val="15"/>
        <w:tblW w:w="4465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7"/>
        <w:gridCol w:w="1715"/>
        <w:gridCol w:w="1839"/>
        <w:gridCol w:w="1272"/>
        <w:gridCol w:w="1829"/>
      </w:tblGrid>
      <w:tr w14:paraId="76A4D7E9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1" w:type="pct"/>
            <w:gridSpan w:val="2"/>
            <w:tcMar>
              <w:left w:w="0" w:type="dxa"/>
              <w:right w:w="0" w:type="dxa"/>
            </w:tcMar>
            <w:vAlign w:val="center"/>
          </w:tcPr>
          <w:p w14:paraId="2739FD2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因素</w:t>
            </w:r>
          </w:p>
        </w:tc>
        <w:tc>
          <w:tcPr>
            <w:tcW w:w="1239" w:type="pct"/>
            <w:tcMar>
              <w:left w:w="0" w:type="dxa"/>
              <w:right w:w="0" w:type="dxa"/>
            </w:tcMar>
            <w:vAlign w:val="center"/>
          </w:tcPr>
          <w:p w14:paraId="76B21F0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水解平衡</w:t>
            </w:r>
          </w:p>
        </w:tc>
        <w:tc>
          <w:tcPr>
            <w:tcW w:w="857" w:type="pct"/>
            <w:tcMar>
              <w:left w:w="0" w:type="dxa"/>
              <w:right w:w="0" w:type="dxa"/>
            </w:tcMar>
            <w:vAlign w:val="center"/>
          </w:tcPr>
          <w:p w14:paraId="2A5D498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水解程度</w:t>
            </w:r>
          </w:p>
        </w:tc>
        <w:tc>
          <w:tcPr>
            <w:tcW w:w="1231" w:type="pct"/>
            <w:tcMar>
              <w:left w:w="0" w:type="dxa"/>
              <w:right w:w="0" w:type="dxa"/>
            </w:tcMar>
            <w:vAlign w:val="center"/>
          </w:tcPr>
          <w:p w14:paraId="57DA8EC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水解产生离子的浓度</w:t>
            </w:r>
          </w:p>
        </w:tc>
      </w:tr>
      <w:tr w14:paraId="48EC69B2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pct"/>
            <w:tcMar>
              <w:left w:w="0" w:type="dxa"/>
              <w:right w:w="0" w:type="dxa"/>
            </w:tcMar>
            <w:vAlign w:val="center"/>
          </w:tcPr>
          <w:p w14:paraId="2CFC018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温度</w:t>
            </w:r>
          </w:p>
        </w:tc>
        <w:tc>
          <w:tcPr>
            <w:tcW w:w="1155" w:type="pct"/>
            <w:tcMar>
              <w:left w:w="0" w:type="dxa"/>
              <w:right w:w="0" w:type="dxa"/>
            </w:tcMar>
            <w:vAlign w:val="center"/>
          </w:tcPr>
          <w:p w14:paraId="5AD26F1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升高</w:t>
            </w:r>
          </w:p>
        </w:tc>
        <w:tc>
          <w:tcPr>
            <w:tcW w:w="1239" w:type="pct"/>
            <w:tcMar>
              <w:left w:w="0" w:type="dxa"/>
              <w:right w:w="0" w:type="dxa"/>
            </w:tcMar>
            <w:vAlign w:val="center"/>
          </w:tcPr>
          <w:p w14:paraId="55FC3B7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BDF"/>
                <w:szCs w:val="21"/>
                <w:u w:val="thick"/>
              </w:rPr>
              <w:t>右移</w:t>
            </w:r>
          </w:p>
        </w:tc>
        <w:tc>
          <w:tcPr>
            <w:tcW w:w="857" w:type="pct"/>
            <w:tcMar>
              <w:left w:w="0" w:type="dxa"/>
              <w:right w:w="0" w:type="dxa"/>
            </w:tcMar>
            <w:vAlign w:val="center"/>
          </w:tcPr>
          <w:p w14:paraId="48821EF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BDF"/>
                <w:szCs w:val="21"/>
                <w:u w:val="thick"/>
              </w:rPr>
              <w:t>增大</w:t>
            </w:r>
          </w:p>
        </w:tc>
        <w:tc>
          <w:tcPr>
            <w:tcW w:w="1231" w:type="pct"/>
            <w:tcMar>
              <w:left w:w="0" w:type="dxa"/>
              <w:right w:w="0" w:type="dxa"/>
            </w:tcMar>
            <w:vAlign w:val="center"/>
          </w:tcPr>
          <w:p w14:paraId="42EAE8A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BDF"/>
                <w:szCs w:val="21"/>
                <w:u w:val="thick"/>
              </w:rPr>
              <w:t>增大</w:t>
            </w:r>
          </w:p>
        </w:tc>
      </w:tr>
      <w:tr w14:paraId="746B56F8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pct"/>
            <w:vMerge w:val="restart"/>
            <w:tcMar>
              <w:left w:w="0" w:type="dxa"/>
              <w:right w:w="0" w:type="dxa"/>
            </w:tcMar>
            <w:vAlign w:val="center"/>
          </w:tcPr>
          <w:p w14:paraId="309FA46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浓度</w:t>
            </w:r>
          </w:p>
        </w:tc>
        <w:tc>
          <w:tcPr>
            <w:tcW w:w="1155" w:type="pct"/>
            <w:tcMar>
              <w:left w:w="0" w:type="dxa"/>
              <w:right w:w="0" w:type="dxa"/>
            </w:tcMar>
            <w:vAlign w:val="center"/>
          </w:tcPr>
          <w:p w14:paraId="777231D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增大</w:t>
            </w:r>
          </w:p>
        </w:tc>
        <w:tc>
          <w:tcPr>
            <w:tcW w:w="1239" w:type="pct"/>
            <w:tcMar>
              <w:left w:w="0" w:type="dxa"/>
              <w:right w:w="0" w:type="dxa"/>
            </w:tcMar>
            <w:vAlign w:val="center"/>
          </w:tcPr>
          <w:p w14:paraId="72EE268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BDF"/>
                <w:szCs w:val="21"/>
                <w:u w:val="thick"/>
              </w:rPr>
              <w:t>右移</w:t>
            </w:r>
          </w:p>
        </w:tc>
        <w:tc>
          <w:tcPr>
            <w:tcW w:w="857" w:type="pct"/>
            <w:tcMar>
              <w:left w:w="0" w:type="dxa"/>
              <w:right w:w="0" w:type="dxa"/>
            </w:tcMar>
            <w:vAlign w:val="center"/>
          </w:tcPr>
          <w:p w14:paraId="35499A0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BDF"/>
                <w:szCs w:val="21"/>
                <w:u w:val="thick"/>
              </w:rPr>
              <w:t>减小</w:t>
            </w:r>
          </w:p>
        </w:tc>
        <w:tc>
          <w:tcPr>
            <w:tcW w:w="1231" w:type="pct"/>
            <w:tcMar>
              <w:left w:w="0" w:type="dxa"/>
              <w:right w:w="0" w:type="dxa"/>
            </w:tcMar>
            <w:vAlign w:val="center"/>
          </w:tcPr>
          <w:p w14:paraId="63A60DC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BDF"/>
                <w:szCs w:val="21"/>
                <w:u w:val="thick"/>
              </w:rPr>
              <w:t>增大</w:t>
            </w:r>
          </w:p>
        </w:tc>
      </w:tr>
      <w:tr w14:paraId="177482BF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pct"/>
            <w:vMerge w:val="continue"/>
            <w:tcMar>
              <w:left w:w="0" w:type="dxa"/>
              <w:right w:w="0" w:type="dxa"/>
            </w:tcMar>
            <w:vAlign w:val="center"/>
          </w:tcPr>
          <w:p w14:paraId="54F45377"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55" w:type="pct"/>
            <w:tcMar>
              <w:left w:w="0" w:type="dxa"/>
              <w:right w:w="0" w:type="dxa"/>
            </w:tcMar>
            <w:vAlign w:val="center"/>
          </w:tcPr>
          <w:p w14:paraId="3C32E14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减小(稀释)</w:t>
            </w:r>
          </w:p>
        </w:tc>
        <w:tc>
          <w:tcPr>
            <w:tcW w:w="1239" w:type="pct"/>
            <w:tcMar>
              <w:left w:w="0" w:type="dxa"/>
              <w:right w:w="0" w:type="dxa"/>
            </w:tcMar>
            <w:vAlign w:val="center"/>
          </w:tcPr>
          <w:p w14:paraId="06FA6ED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BDF"/>
                <w:szCs w:val="21"/>
                <w:u w:val="thick"/>
              </w:rPr>
              <w:t>右移</w:t>
            </w:r>
          </w:p>
        </w:tc>
        <w:tc>
          <w:tcPr>
            <w:tcW w:w="857" w:type="pct"/>
            <w:tcMar>
              <w:left w:w="0" w:type="dxa"/>
              <w:right w:w="0" w:type="dxa"/>
            </w:tcMar>
            <w:vAlign w:val="center"/>
          </w:tcPr>
          <w:p w14:paraId="5079F69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BDF"/>
                <w:szCs w:val="21"/>
                <w:u w:val="thick"/>
              </w:rPr>
              <w:t>增大</w:t>
            </w:r>
          </w:p>
        </w:tc>
        <w:tc>
          <w:tcPr>
            <w:tcW w:w="1231" w:type="pct"/>
            <w:tcMar>
              <w:left w:w="0" w:type="dxa"/>
              <w:right w:w="0" w:type="dxa"/>
            </w:tcMar>
            <w:vAlign w:val="center"/>
          </w:tcPr>
          <w:p w14:paraId="71F6785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BDF"/>
                <w:szCs w:val="21"/>
                <w:u w:val="thick"/>
              </w:rPr>
              <w:t>减小</w:t>
            </w:r>
          </w:p>
        </w:tc>
      </w:tr>
      <w:tr w14:paraId="0DBC3226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pct"/>
            <w:vMerge w:val="restart"/>
            <w:tcMar>
              <w:left w:w="0" w:type="dxa"/>
              <w:right w:w="0" w:type="dxa"/>
            </w:tcMar>
            <w:vAlign w:val="center"/>
          </w:tcPr>
          <w:p w14:paraId="6BC88FB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外加</w:t>
            </w:r>
          </w:p>
          <w:p w14:paraId="083E070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酸碱</w:t>
            </w:r>
          </w:p>
        </w:tc>
        <w:tc>
          <w:tcPr>
            <w:tcW w:w="1155" w:type="pct"/>
            <w:tcMar>
              <w:left w:w="0" w:type="dxa"/>
              <w:right w:w="0" w:type="dxa"/>
            </w:tcMar>
            <w:vAlign w:val="center"/>
          </w:tcPr>
          <w:p w14:paraId="4EA1073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酸</w:t>
            </w:r>
          </w:p>
        </w:tc>
        <w:tc>
          <w:tcPr>
            <w:tcW w:w="3328" w:type="pct"/>
            <w:gridSpan w:val="3"/>
            <w:tcMar>
              <w:left w:w="0" w:type="dxa"/>
              <w:right w:w="0" w:type="dxa"/>
            </w:tcMar>
            <w:vAlign w:val="center"/>
          </w:tcPr>
          <w:p w14:paraId="129F8BA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弱碱阳离子水解程度</w:t>
            </w:r>
            <w:r>
              <w:rPr>
                <w:rFonts w:ascii="Times New Roman" w:hAnsi="Times New Roman" w:eastAsia="宋体" w:cs="Times New Roman"/>
                <w:color w:val="91ABDF"/>
                <w:szCs w:val="21"/>
                <w:u w:val="thick"/>
              </w:rPr>
              <w:t>减小</w:t>
            </w:r>
          </w:p>
        </w:tc>
      </w:tr>
      <w:tr w14:paraId="47A4EFBB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pct"/>
            <w:vMerge w:val="continue"/>
            <w:tcMar>
              <w:left w:w="0" w:type="dxa"/>
              <w:right w:w="0" w:type="dxa"/>
            </w:tcMar>
            <w:vAlign w:val="center"/>
          </w:tcPr>
          <w:p w14:paraId="07DC980D"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55" w:type="pct"/>
            <w:tcMar>
              <w:left w:w="0" w:type="dxa"/>
              <w:right w:w="0" w:type="dxa"/>
            </w:tcMar>
            <w:vAlign w:val="center"/>
          </w:tcPr>
          <w:p w14:paraId="34C1DFB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碱</w:t>
            </w:r>
          </w:p>
        </w:tc>
        <w:tc>
          <w:tcPr>
            <w:tcW w:w="3328" w:type="pct"/>
            <w:gridSpan w:val="3"/>
            <w:tcMar>
              <w:left w:w="0" w:type="dxa"/>
              <w:right w:w="0" w:type="dxa"/>
            </w:tcMar>
            <w:vAlign w:val="center"/>
          </w:tcPr>
          <w:p w14:paraId="0CAF999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弱酸阴离子水解程度</w:t>
            </w:r>
            <w:r>
              <w:rPr>
                <w:rFonts w:ascii="Times New Roman" w:hAnsi="Times New Roman" w:eastAsia="宋体" w:cs="Times New Roman"/>
                <w:color w:val="91ABDF"/>
                <w:szCs w:val="21"/>
                <w:u w:val="thick"/>
              </w:rPr>
              <w:t>减小</w:t>
            </w:r>
          </w:p>
        </w:tc>
      </w:tr>
      <w:tr w14:paraId="2322A70E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pct"/>
            <w:vMerge w:val="restart"/>
            <w:tcMar>
              <w:left w:w="0" w:type="dxa"/>
              <w:right w:w="0" w:type="dxa"/>
            </w:tcMar>
            <w:vAlign w:val="center"/>
          </w:tcPr>
          <w:p w14:paraId="1D8DAEA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外加其</w:t>
            </w:r>
          </w:p>
          <w:p w14:paraId="5F720EB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他盐</w:t>
            </w:r>
          </w:p>
        </w:tc>
        <w:tc>
          <w:tcPr>
            <w:tcW w:w="1155" w:type="pct"/>
            <w:tcMar>
              <w:left w:w="0" w:type="dxa"/>
              <w:right w:w="0" w:type="dxa"/>
            </w:tcMar>
            <w:vAlign w:val="center"/>
          </w:tcPr>
          <w:p w14:paraId="35AB585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水解形式相同的盐</w:t>
            </w:r>
          </w:p>
        </w:tc>
        <w:tc>
          <w:tcPr>
            <w:tcW w:w="3328" w:type="pct"/>
            <w:gridSpan w:val="3"/>
            <w:tcMar>
              <w:left w:w="45" w:type="dxa"/>
              <w:right w:w="45" w:type="dxa"/>
            </w:tcMar>
            <w:vAlign w:val="center"/>
          </w:tcPr>
          <w:p w14:paraId="09692E5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相互抑制(如NH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4</w:t>
            </w:r>
            <w:r>
              <w:rPr>
                <w:rFonts w:ascii="Times New Roman" w:hAnsi="Times New Roman" w:eastAsia="宋体" w:cs="Times New Roman"/>
                <w:szCs w:val="21"/>
              </w:rPr>
              <w:t>Cl中加FeCl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3</w:t>
            </w:r>
            <w:r>
              <w:rPr>
                <w:rFonts w:ascii="Times New Roman" w:hAnsi="Times New Roman" w:eastAsia="宋体" w:cs="Times New Roman"/>
                <w:szCs w:val="21"/>
              </w:rPr>
              <w:t>)</w:t>
            </w:r>
          </w:p>
        </w:tc>
      </w:tr>
      <w:tr w14:paraId="77DFE410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pct"/>
            <w:vMerge w:val="continue"/>
            <w:tcMar>
              <w:left w:w="0" w:type="dxa"/>
              <w:right w:w="0" w:type="dxa"/>
            </w:tcMar>
            <w:vAlign w:val="center"/>
          </w:tcPr>
          <w:p w14:paraId="036F7E76"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55" w:type="pct"/>
            <w:tcMar>
              <w:left w:w="0" w:type="dxa"/>
              <w:right w:w="0" w:type="dxa"/>
            </w:tcMar>
            <w:vAlign w:val="center"/>
          </w:tcPr>
          <w:p w14:paraId="6753151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水解形式相反的盐</w:t>
            </w:r>
          </w:p>
        </w:tc>
        <w:tc>
          <w:tcPr>
            <w:tcW w:w="3328" w:type="pct"/>
            <w:gridSpan w:val="3"/>
            <w:tcMar>
              <w:left w:w="45" w:type="dxa"/>
              <w:right w:w="45" w:type="dxa"/>
            </w:tcMar>
            <w:vAlign w:val="center"/>
          </w:tcPr>
          <w:p w14:paraId="795CCAE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相互促进[如Al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(SO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4</w:t>
            </w:r>
            <w:r>
              <w:rPr>
                <w:rFonts w:ascii="Times New Roman" w:hAnsi="Times New Roman" w:eastAsia="宋体" w:cs="Times New Roman"/>
                <w:szCs w:val="21"/>
              </w:rPr>
              <w:t>)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3</w:t>
            </w:r>
            <w:r>
              <w:rPr>
                <w:rFonts w:ascii="Times New Roman" w:hAnsi="Times New Roman" w:eastAsia="宋体" w:cs="Times New Roman"/>
                <w:szCs w:val="21"/>
              </w:rPr>
              <w:t>中加NaHCO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3</w:t>
            </w:r>
            <w:r>
              <w:rPr>
                <w:rFonts w:ascii="Times New Roman" w:hAnsi="Times New Roman" w:eastAsia="宋体" w:cs="Times New Roman"/>
                <w:szCs w:val="21"/>
              </w:rPr>
              <w:t>]</w:t>
            </w:r>
          </w:p>
        </w:tc>
      </w:tr>
    </w:tbl>
    <w:p w14:paraId="7F86CECC">
      <w:pPr>
        <w:rPr>
          <w:rFonts w:hint="eastAsia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CED0AC">
    <w:pPr>
      <w:pStyle w:val="11"/>
      <w:rPr>
        <w:rFonts w:hint="eastAsia"/>
      </w:rPr>
    </w:pPr>
    <w:r>
      <w:rPr>
        <w:rFonts w:hint="eastAsia"/>
        <w14:ligatures w14:val="none"/>
      </w:rPr>
      <w:pict>
        <v:shape id="WordPictureWatermark335326689" o:spid="_x0000_s1028" o:spt="75" type="#_x0000_t75" style="position:absolute;left:0pt;margin-left:-4.5pt;margin-top:445.6pt;height:211.9pt;width:414.3pt;mso-position-horizontal-relative:margin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11C2CF">
    <w:pPr>
      <w:pStyle w:val="11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AEEC6F">
    <w:pPr>
      <w:pStyle w:val="11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289925">
    <w:pPr>
      <w:pStyle w:val="12"/>
      <w:pBdr>
        <w:bottom w:val="single" w:color="auto" w:sz="4" w:space="1"/>
      </w:pBdr>
      <w:jc w:val="right"/>
    </w:pPr>
    <w:bookmarkStart w:id="0" w:name="_Hlk195275851"/>
    <w:r>
      <w:rPr>
        <w:rFonts w:hint="eastAsia"/>
      </w:rPr>
      <w:t>配套《高中必刷题 化学 选择性必修1 化学反应原理 LK》使用</w:t>
    </w:r>
  </w:p>
  <w:bookmarkEnd w:id="0"/>
  <w:p w14:paraId="5798BBFB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8E8E84">
    <w:pPr>
      <w:pStyle w:val="12"/>
      <w:rPr>
        <w:rFonts w:hint="eastAsia"/>
      </w:rPr>
    </w:pPr>
    <w:r>
      <w:rPr>
        <w:rFonts w:hint="eastAsia"/>
        <w14:ligatures w14:val="none"/>
      </w:rPr>
      <w:pict>
        <v:shape id="WordPictureWatermark335326688" o:spid="_x0000_s1027" o:spt="75" type="#_x0000_t75" style="position:absolute;left:0pt;height:211.9pt;width:414.3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ABA434">
    <w:pPr>
      <w:pStyle w:val="12"/>
      <w:rPr>
        <w:rFonts w:hint="eastAsia"/>
      </w:rPr>
    </w:pPr>
    <w:r>
      <w:rPr>
        <w:rFonts w:hint="eastAsia"/>
        <w14:ligatures w14:val="none"/>
      </w:rPr>
      <w:pict>
        <v:shape id="WordPictureWatermark335326687" o:spid="_x0000_s1026" o:spt="75" type="#_x0000_t75" style="position:absolute;left:0pt;height:211.9pt;width:414.3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B7475E"/>
    <w:rsid w:val="000C1801"/>
    <w:rsid w:val="00155F19"/>
    <w:rsid w:val="001C01AF"/>
    <w:rsid w:val="006C322D"/>
    <w:rsid w:val="007E24E9"/>
    <w:rsid w:val="00A65F3E"/>
    <w:rsid w:val="00A973C2"/>
    <w:rsid w:val="00B7475E"/>
    <w:rsid w:val="00CD1384"/>
    <w:rsid w:val="00E74AFC"/>
    <w:rsid w:val="00EA2B80"/>
    <w:rsid w:val="03481728"/>
    <w:rsid w:val="3E403812"/>
    <w:rsid w:val="4865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  <customShpInfo spid="_x0000_s1026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618</Words>
  <Characters>736</Characters>
  <Lines>43</Lines>
  <Paragraphs>54</Paragraphs>
  <TotalTime>0</TotalTime>
  <ScaleCrop>false</ScaleCrop>
  <LinksUpToDate>false</LinksUpToDate>
  <CharactersWithSpaces>740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2025-04-02T01:46:00Z</dcterms:created>
  <dc:creator>1224348813@qq.com</dc:creator>
  <cp:lastModifiedBy>刘岩</cp:lastModifiedBy>
  <dcterms:modified xsi:type="dcterms:W3CDTF">2026-03-20T02:21:33Z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6FF07822A70C4246BFC16252B7844F97_12</vt:lpwstr>
  </property>
</Properties>
</file>